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jc w:val="center"/>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4600"/>
      </w:tblGrid>
      <w:tr w:rsidR="005D567F" w:rsidRPr="005D567F" w:rsidTr="005D567F">
        <w:trPr>
          <w:jc w:val="center"/>
        </w:trPr>
        <w:tc>
          <w:tcPr>
            <w:tcW w:w="14600" w:type="dxa"/>
            <w:shd w:val="clear" w:color="auto" w:fill="FFFFFF" w:themeFill="background1"/>
            <w:vAlign w:val="center"/>
            <w:hideMark/>
          </w:tcPr>
          <w:p w:rsidR="005D567F" w:rsidRPr="00565679" w:rsidRDefault="00011CD7" w:rsidP="005D567F">
            <w:pPr>
              <w:spacing w:before="96" w:after="192" w:line="240" w:lineRule="auto"/>
              <w:jc w:val="center"/>
              <w:rPr>
                <w:rFonts w:asciiTheme="majorHAnsi" w:eastAsia="Times New Roman" w:hAnsiTheme="majorHAnsi" w:cs="Times New Roman"/>
                <w:b/>
                <w:bCs/>
                <w:sz w:val="33"/>
                <w:szCs w:val="33"/>
                <w:lang w:eastAsia="ru-RU"/>
              </w:rPr>
            </w:pPr>
            <w:r w:rsidRPr="00565679">
              <w:rPr>
                <w:rFonts w:asciiTheme="majorHAnsi" w:eastAsia="Times New Roman" w:hAnsiTheme="majorHAnsi" w:cs="Times New Roman"/>
                <w:b/>
                <w:bCs/>
                <w:sz w:val="33"/>
                <w:szCs w:val="33"/>
                <w:lang w:eastAsia="ru-RU"/>
              </w:rPr>
              <w:t>С</w:t>
            </w:r>
            <w:r w:rsidR="005D567F" w:rsidRPr="00565679">
              <w:rPr>
                <w:rFonts w:asciiTheme="majorHAnsi" w:eastAsia="Times New Roman" w:hAnsiTheme="majorHAnsi" w:cs="Times New Roman"/>
                <w:b/>
                <w:bCs/>
                <w:sz w:val="33"/>
                <w:szCs w:val="33"/>
                <w:lang w:eastAsia="ru-RU"/>
              </w:rPr>
              <w:t xml:space="preserve">ВЕДЕНИЯ </w:t>
            </w:r>
          </w:p>
          <w:p w:rsidR="00011CD7" w:rsidRPr="00565679" w:rsidRDefault="005D567F" w:rsidP="005D567F">
            <w:pPr>
              <w:spacing w:before="96" w:after="192" w:line="240" w:lineRule="auto"/>
              <w:jc w:val="center"/>
              <w:rPr>
                <w:rFonts w:asciiTheme="majorHAnsi" w:eastAsia="Times New Roman" w:hAnsiTheme="majorHAnsi" w:cs="Times New Roman"/>
                <w:sz w:val="16"/>
                <w:szCs w:val="16"/>
                <w:lang w:eastAsia="ru-RU"/>
              </w:rPr>
            </w:pPr>
            <w:r w:rsidRPr="00565679">
              <w:rPr>
                <w:rFonts w:asciiTheme="majorHAnsi" w:eastAsia="Times New Roman" w:hAnsiTheme="majorHAnsi" w:cs="Times New Roman"/>
                <w:b/>
                <w:bCs/>
                <w:sz w:val="33"/>
                <w:szCs w:val="33"/>
                <w:lang w:eastAsia="ru-RU"/>
              </w:rPr>
              <w:t xml:space="preserve">О ВОЗМОЖНОСТИ ВНЕСЕНИЯ ДОБРОВОЛЬНЫХ ПОЖЕРТВОВАНИЙ </w:t>
            </w:r>
          </w:p>
        </w:tc>
      </w:tr>
      <w:tr w:rsidR="005D567F" w:rsidRPr="005D567F" w:rsidTr="005D567F">
        <w:trPr>
          <w:jc w:val="center"/>
        </w:trPr>
        <w:tc>
          <w:tcPr>
            <w:tcW w:w="14600" w:type="dxa"/>
            <w:shd w:val="clear" w:color="auto" w:fill="FFFFFF" w:themeFill="background1"/>
            <w:vAlign w:val="center"/>
            <w:hideMark/>
          </w:tcPr>
          <w:p w:rsidR="00011CD7" w:rsidRPr="00565679" w:rsidRDefault="00011CD7" w:rsidP="00011CD7">
            <w:pPr>
              <w:spacing w:before="96" w:after="192" w:line="240" w:lineRule="auto"/>
              <w:rPr>
                <w:rFonts w:asciiTheme="majorHAnsi" w:eastAsia="Times New Roman" w:hAnsiTheme="majorHAnsi" w:cs="Times New Roman"/>
                <w:sz w:val="16"/>
                <w:szCs w:val="16"/>
                <w:lang w:eastAsia="ru-RU"/>
              </w:rPr>
            </w:pPr>
          </w:p>
        </w:tc>
      </w:tr>
      <w:tr w:rsidR="005D567F" w:rsidRPr="005D567F" w:rsidTr="005D567F">
        <w:trPr>
          <w:jc w:val="center"/>
        </w:trPr>
        <w:tc>
          <w:tcPr>
            <w:tcW w:w="14600" w:type="dxa"/>
            <w:shd w:val="clear" w:color="auto" w:fill="FFFFFF" w:themeFill="background1"/>
            <w:vAlign w:val="center"/>
            <w:hideMark/>
          </w:tcPr>
          <w:p w:rsidR="00011CD7" w:rsidRPr="00565679" w:rsidRDefault="00011CD7" w:rsidP="00011CD7">
            <w:pPr>
              <w:spacing w:before="100" w:beforeAutospacing="1" w:after="0" w:line="240" w:lineRule="auto"/>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16"/>
                <w:szCs w:val="16"/>
                <w:lang w:eastAsia="ru-RU"/>
              </w:rPr>
              <w:t> </w:t>
            </w:r>
          </w:p>
        </w:tc>
      </w:tr>
      <w:tr w:rsidR="005D567F" w:rsidRPr="005D567F" w:rsidTr="005D567F">
        <w:trPr>
          <w:trHeight w:val="2525"/>
          <w:jc w:val="center"/>
        </w:trPr>
        <w:tc>
          <w:tcPr>
            <w:tcW w:w="14600" w:type="dxa"/>
            <w:shd w:val="clear" w:color="auto" w:fill="FFFFFF" w:themeFill="background1"/>
            <w:vAlign w:val="center"/>
            <w:hideMark/>
          </w:tcPr>
          <w:p w:rsidR="00011CD7" w:rsidRPr="00565679" w:rsidRDefault="00011CD7" w:rsidP="00011CD7">
            <w:pPr>
              <w:spacing w:before="96" w:after="192" w:line="240" w:lineRule="auto"/>
              <w:jc w:val="center"/>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ИНСТРУКТИВНОЕ ПИСЬМО МИНОБРАЗОВАНИЯ РФ</w:t>
            </w:r>
          </w:p>
          <w:p w:rsidR="00011CD7" w:rsidRPr="00565679" w:rsidRDefault="00011CD7" w:rsidP="00011CD7">
            <w:pPr>
              <w:spacing w:before="96" w:after="192" w:line="240" w:lineRule="auto"/>
              <w:jc w:val="center"/>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ОТ 15.12.98 N 57 «О ВНЕБЮДЖЕТНЫХ СРЕДСТВАХ ОБРАЗОВАТЕЛЬНЫХУЧРЕЖДЕНИЙ»</w:t>
            </w:r>
          </w:p>
          <w:p w:rsidR="00011CD7" w:rsidRPr="00565679" w:rsidRDefault="00011CD7" w:rsidP="00011CD7">
            <w:pPr>
              <w:spacing w:before="96" w:after="192" w:line="240" w:lineRule="auto"/>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16"/>
                <w:szCs w:val="16"/>
                <w:lang w:eastAsia="ru-RU"/>
              </w:rPr>
              <w:t> </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В соответствии с</w:t>
            </w:r>
            <w:r w:rsidR="005D567F" w:rsidRPr="00565679">
              <w:rPr>
                <w:rFonts w:asciiTheme="majorHAnsi" w:eastAsia="Times New Roman" w:hAnsiTheme="majorHAnsi" w:cs="Times New Roman"/>
                <w:sz w:val="30"/>
                <w:szCs w:val="30"/>
                <w:lang w:eastAsia="ru-RU"/>
              </w:rPr>
              <w:t xml:space="preserve"> Законом Российской Федерации «</w:t>
            </w:r>
            <w:r w:rsidRPr="00565679">
              <w:rPr>
                <w:rFonts w:asciiTheme="majorHAnsi" w:eastAsia="Times New Roman" w:hAnsiTheme="majorHAnsi" w:cs="Times New Roman"/>
                <w:sz w:val="30"/>
                <w:szCs w:val="30"/>
                <w:lang w:eastAsia="ru-RU"/>
              </w:rPr>
              <w:t>Об образовании» образовательное учреждение,</w:t>
            </w:r>
            <w:r w:rsidR="00C320D1" w:rsidRPr="00565679">
              <w:rPr>
                <w:rFonts w:asciiTheme="majorHAnsi" w:eastAsia="Times New Roman" w:hAnsiTheme="majorHAnsi" w:cs="Times New Roman"/>
                <w:sz w:val="30"/>
                <w:szCs w:val="30"/>
                <w:lang w:eastAsia="ru-RU"/>
              </w:rPr>
              <w:t xml:space="preserve"> </w:t>
            </w:r>
            <w:r w:rsidRPr="00565679">
              <w:rPr>
                <w:rFonts w:asciiTheme="majorHAnsi" w:eastAsia="Times New Roman" w:hAnsiTheme="majorHAnsi" w:cs="Times New Roman"/>
                <w:sz w:val="30"/>
                <w:szCs w:val="30"/>
                <w:lang w:eastAsia="ru-RU"/>
              </w:rPr>
              <w:t xml:space="preserve">независимо от его организационно </w:t>
            </w:r>
            <w:r w:rsidR="005D567F" w:rsidRPr="00565679">
              <w:rPr>
                <w:rFonts w:asciiTheme="majorHAnsi" w:eastAsia="Times New Roman" w:hAnsiTheme="majorHAnsi" w:cs="Times New Roman"/>
                <w:sz w:val="30"/>
                <w:szCs w:val="30"/>
                <w:lang w:eastAsia="ru-RU"/>
              </w:rPr>
              <w:t>-</w:t>
            </w:r>
            <w:r w:rsidRPr="00565679">
              <w:rPr>
                <w:rFonts w:asciiTheme="majorHAnsi" w:eastAsia="Times New Roman" w:hAnsiTheme="majorHAnsi" w:cs="Times New Roman"/>
                <w:sz w:val="30"/>
                <w:szCs w:val="30"/>
                <w:lang w:eastAsia="ru-RU"/>
              </w:rPr>
              <w:t xml:space="preserve"> правовой формы, </w:t>
            </w:r>
            <w:r w:rsidRPr="00565679">
              <w:rPr>
                <w:rFonts w:asciiTheme="majorHAnsi" w:eastAsia="Times New Roman" w:hAnsiTheme="majorHAnsi" w:cs="Times New Roman"/>
                <w:b/>
                <w:bCs/>
                <w:sz w:val="30"/>
                <w:szCs w:val="30"/>
                <w:lang w:eastAsia="ru-RU"/>
              </w:rPr>
              <w:t>вправе привл</w:t>
            </w:r>
            <w:r w:rsidR="005D567F" w:rsidRPr="00565679">
              <w:rPr>
                <w:rFonts w:asciiTheme="majorHAnsi" w:eastAsia="Times New Roman" w:hAnsiTheme="majorHAnsi" w:cs="Times New Roman"/>
                <w:b/>
                <w:bCs/>
                <w:sz w:val="30"/>
                <w:szCs w:val="30"/>
                <w:lang w:eastAsia="ru-RU"/>
              </w:rPr>
              <w:t xml:space="preserve">екать дополнительные финансовые </w:t>
            </w:r>
            <w:r w:rsidRPr="00565679">
              <w:rPr>
                <w:rFonts w:asciiTheme="majorHAnsi" w:eastAsia="Times New Roman" w:hAnsiTheme="majorHAnsi" w:cs="Times New Roman"/>
                <w:sz w:val="30"/>
                <w:szCs w:val="30"/>
                <w:lang w:eastAsia="ru-RU"/>
              </w:rPr>
              <w:t>средства за счет предоставления платных дополнительных образовательных и иных предусмотренных уставом образовательного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Образовательное учреждение вправе использовать дополнительные привлеченные финансовые средства на функционирование и развитие учреждения, осуществление образовательного процесса, в том числе на приобретение предметов хозяйственного пользования, обустройство интерьера, проведение ремонтных работ, организацию досуга и отдыха детей, различные виды доплат работникам учреждения и другие нужды.</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В условиях значительного дефицита бюджетных средств, выделяемых в последние годы на содержание и развитие системы образования, образовательные учреждения явно недостаточно используют имеющиеся возможности привлечения внебюджетных средств от предоставления дополнительных образовательных услуг, спонсорских взносов физических и юридических лиц и т.п.</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В целях активизации работы по привлечению внебюджетных сре</w:t>
            </w:r>
            <w:proofErr w:type="gramStart"/>
            <w:r w:rsidRPr="00565679">
              <w:rPr>
                <w:rFonts w:asciiTheme="majorHAnsi" w:eastAsia="Times New Roman" w:hAnsiTheme="majorHAnsi" w:cs="Times New Roman"/>
                <w:sz w:val="30"/>
                <w:szCs w:val="30"/>
                <w:lang w:eastAsia="ru-RU"/>
              </w:rPr>
              <w:t>дств сч</w:t>
            </w:r>
            <w:proofErr w:type="gramEnd"/>
            <w:r w:rsidRPr="00565679">
              <w:rPr>
                <w:rFonts w:asciiTheme="majorHAnsi" w:eastAsia="Times New Roman" w:hAnsiTheme="majorHAnsi" w:cs="Times New Roman"/>
                <w:sz w:val="30"/>
                <w:szCs w:val="30"/>
                <w:lang w:eastAsia="ru-RU"/>
              </w:rPr>
              <w:t xml:space="preserve">итаем необходимыми в связи с </w:t>
            </w:r>
            <w:r w:rsidRPr="00565679">
              <w:rPr>
                <w:rFonts w:asciiTheme="majorHAnsi" w:eastAsia="Times New Roman" w:hAnsiTheme="majorHAnsi" w:cs="Times New Roman"/>
                <w:sz w:val="30"/>
                <w:szCs w:val="30"/>
                <w:lang w:eastAsia="ru-RU"/>
              </w:rPr>
              <w:lastRenderedPageBreak/>
              <w:t>этим рекомендуем органам управления образованием субъектов Российской Федерации, муниципальным органам управления образованием, руководителям образовательных учреждений провести соответствующую работу по созданию фондов развития образовательных учреждений (курируемых советами фондов или попечительскими советами) либо по открытию внебюджетных счетов образовательных учреждений. При этом целесообразно, чтобы в расходовании внебюджетных сре</w:t>
            </w:r>
            <w:proofErr w:type="gramStart"/>
            <w:r w:rsidRPr="00565679">
              <w:rPr>
                <w:rFonts w:asciiTheme="majorHAnsi" w:eastAsia="Times New Roman" w:hAnsiTheme="majorHAnsi" w:cs="Times New Roman"/>
                <w:sz w:val="30"/>
                <w:szCs w:val="30"/>
                <w:lang w:eastAsia="ru-RU"/>
              </w:rPr>
              <w:t>дств пр</w:t>
            </w:r>
            <w:proofErr w:type="gramEnd"/>
            <w:r w:rsidRPr="00565679">
              <w:rPr>
                <w:rFonts w:asciiTheme="majorHAnsi" w:eastAsia="Times New Roman" w:hAnsiTheme="majorHAnsi" w:cs="Times New Roman"/>
                <w:sz w:val="30"/>
                <w:szCs w:val="30"/>
                <w:lang w:eastAsia="ru-RU"/>
              </w:rPr>
              <w:t>инимали участие органы самоуправления образовательных учреждений.</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Привлечение образовательным учреждением дополнительных средств, указанных выше, не влечет за собой снижения нормативов и (или) абсолютных размеров его финансирования за счет средств учредителя.</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 xml:space="preserve">Для производства различного рода финансовых расчетов, в частности </w:t>
            </w:r>
            <w:r w:rsidR="005D567F" w:rsidRPr="00565679">
              <w:rPr>
                <w:rFonts w:asciiTheme="majorHAnsi" w:eastAsia="Times New Roman" w:hAnsiTheme="majorHAnsi" w:cs="Times New Roman"/>
                <w:sz w:val="30"/>
                <w:szCs w:val="30"/>
                <w:lang w:eastAsia="ru-RU"/>
              </w:rPr>
              <w:t>-</w:t>
            </w:r>
            <w:r w:rsidRPr="00565679">
              <w:rPr>
                <w:rFonts w:asciiTheme="majorHAnsi" w:eastAsia="Times New Roman" w:hAnsiTheme="majorHAnsi" w:cs="Times New Roman"/>
                <w:sz w:val="30"/>
                <w:szCs w:val="30"/>
                <w:lang w:eastAsia="ru-RU"/>
              </w:rPr>
              <w:t xml:space="preserve"> с внебюджетных счетов, образовательному учреждению необязательно иметь в своем штате бухгалтера. Достаточно, например, заключить соответствующий договор с соответствующей централизованной бухгалтерией, если она является юридическим лицом, или с органом управления образованием, если эта бухгалтерия является его структурным подразделением.</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Внесение денежных средств (пожертвований) физическими и (или) юридическими лицами, в том числе родителями (законными представителями обучающихся), осуществляется только на добровольной основе целевым назначением на расчетный счет образовательного учреждения.</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В соответствии со ст. 582 Гражданского кодекса граждане (физические лица) и юридические лица вправе беспрепятственно осуществлять благотворительную деятельность на основе добровольности и свободы выбора ее целей.</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Под благотворительной деятельностью понимается</w:t>
            </w:r>
            <w:r w:rsidRPr="00565679">
              <w:rPr>
                <w:rFonts w:asciiTheme="majorHAnsi" w:eastAsia="Times New Roman" w:hAnsiTheme="majorHAnsi" w:cs="Times New Roman"/>
                <w:sz w:val="30"/>
                <w:szCs w:val="30"/>
                <w:u w:val="single"/>
                <w:lang w:eastAsia="ru-RU"/>
              </w:rPr>
              <w:t xml:space="preserve"> </w:t>
            </w:r>
            <w:r w:rsidRPr="00565679">
              <w:rPr>
                <w:rFonts w:asciiTheme="majorHAnsi" w:eastAsia="Times New Roman" w:hAnsiTheme="majorHAnsi" w:cs="Times New Roman"/>
                <w:sz w:val="30"/>
                <w:szCs w:val="30"/>
                <w:lang w:eastAsia="ru-RU"/>
              </w:rPr>
              <w:t>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w:t>
            </w:r>
            <w:r w:rsidR="005D567F" w:rsidRPr="00565679">
              <w:rPr>
                <w:rFonts w:asciiTheme="majorHAnsi" w:eastAsia="Times New Roman" w:hAnsiTheme="majorHAnsi" w:cs="Times New Roman"/>
                <w:sz w:val="30"/>
                <w:szCs w:val="30"/>
                <w:lang w:eastAsia="ru-RU"/>
              </w:rPr>
              <w:t xml:space="preserve"> </w:t>
            </w:r>
            <w:r w:rsidRPr="00565679">
              <w:rPr>
                <w:rFonts w:asciiTheme="majorHAnsi" w:eastAsia="Times New Roman" w:hAnsiTheme="majorHAnsi" w:cs="Times New Roman"/>
                <w:sz w:val="30"/>
                <w:szCs w:val="30"/>
                <w:lang w:eastAsia="ru-RU"/>
              </w:rPr>
              <w:t xml:space="preserve">бескорыстному выполнению работ, предоставлению </w:t>
            </w:r>
            <w:r w:rsidRPr="00565679">
              <w:rPr>
                <w:rFonts w:asciiTheme="majorHAnsi" w:eastAsia="Times New Roman" w:hAnsiTheme="majorHAnsi" w:cs="Times New Roman"/>
                <w:sz w:val="30"/>
                <w:szCs w:val="30"/>
                <w:lang w:eastAsia="ru-RU"/>
              </w:rPr>
              <w:lastRenderedPageBreak/>
              <w:t>услуг, оказанию иной поддержки.</w:t>
            </w:r>
            <w:r w:rsidR="005D567F" w:rsidRPr="00565679">
              <w:rPr>
                <w:rFonts w:asciiTheme="majorHAnsi" w:eastAsia="Times New Roman" w:hAnsiTheme="majorHAnsi" w:cs="Times New Roman"/>
                <w:sz w:val="30"/>
                <w:szCs w:val="30"/>
                <w:lang w:eastAsia="ru-RU"/>
              </w:rPr>
              <w:t xml:space="preserve"> </w:t>
            </w:r>
            <w:r w:rsidRPr="00565679">
              <w:rPr>
                <w:rFonts w:asciiTheme="majorHAnsi" w:eastAsia="Times New Roman" w:hAnsiTheme="majorHAnsi" w:cs="Times New Roman"/>
                <w:sz w:val="30"/>
                <w:szCs w:val="30"/>
                <w:lang w:eastAsia="ru-RU"/>
              </w:rPr>
              <w:t>Физические и (или) юридические лица вправе внести добровольные пожертвования и целевые взносы в виде денежных средств на расчётный счёт детского сада.</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На привлечённые денежные средства составляется смета расходов, приобретаются оборудование, пособия для воспитательно-образовательного процесса и оздоровления воспитанников ДО</w:t>
            </w:r>
            <w:r w:rsidR="005D567F" w:rsidRPr="00565679">
              <w:rPr>
                <w:rFonts w:asciiTheme="majorHAnsi" w:eastAsia="Times New Roman" w:hAnsiTheme="majorHAnsi" w:cs="Times New Roman"/>
                <w:sz w:val="30"/>
                <w:szCs w:val="30"/>
                <w:lang w:eastAsia="ru-RU"/>
              </w:rPr>
              <w:t>У</w:t>
            </w:r>
            <w:r w:rsidRPr="00565679">
              <w:rPr>
                <w:rFonts w:asciiTheme="majorHAnsi" w:eastAsia="Times New Roman" w:hAnsiTheme="majorHAnsi" w:cs="Times New Roman"/>
                <w:sz w:val="30"/>
                <w:szCs w:val="30"/>
                <w:lang w:eastAsia="ru-RU"/>
              </w:rPr>
              <w:t>, материалы для выполнения ремонтных работ в учреждении, которые ставятся на баланс дошкольного учреждения. Добровольные пожертвования и целевые взносы в виде оборудования, материалов для образовательного процесса и ремонта передаются ДО</w:t>
            </w:r>
            <w:r w:rsidR="005D567F" w:rsidRPr="00565679">
              <w:rPr>
                <w:rFonts w:asciiTheme="majorHAnsi" w:eastAsia="Times New Roman" w:hAnsiTheme="majorHAnsi" w:cs="Times New Roman"/>
                <w:sz w:val="30"/>
                <w:szCs w:val="30"/>
                <w:lang w:eastAsia="ru-RU"/>
              </w:rPr>
              <w:t>У</w:t>
            </w:r>
            <w:r w:rsidRPr="00565679">
              <w:rPr>
                <w:rFonts w:asciiTheme="majorHAnsi" w:eastAsia="Times New Roman" w:hAnsiTheme="majorHAnsi" w:cs="Times New Roman"/>
                <w:sz w:val="30"/>
                <w:szCs w:val="30"/>
                <w:lang w:eastAsia="ru-RU"/>
              </w:rPr>
              <w:t xml:space="preserve"> в соответствии с актом дарения и ставятся на баланс дошкольного учреждения.</w:t>
            </w:r>
          </w:p>
          <w:p w:rsidR="00011CD7" w:rsidRPr="00565679" w:rsidRDefault="00011CD7" w:rsidP="005D567F">
            <w:pPr>
              <w:spacing w:before="96" w:after="192" w:line="240" w:lineRule="auto"/>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Один раз в год на общем родительском собрании заведующ</w:t>
            </w:r>
            <w:r w:rsidR="005D567F" w:rsidRPr="00565679">
              <w:rPr>
                <w:rFonts w:asciiTheme="majorHAnsi" w:eastAsia="Times New Roman" w:hAnsiTheme="majorHAnsi" w:cs="Times New Roman"/>
                <w:sz w:val="30"/>
                <w:szCs w:val="30"/>
                <w:lang w:eastAsia="ru-RU"/>
              </w:rPr>
              <w:t>ая</w:t>
            </w:r>
            <w:r w:rsidRPr="00565679">
              <w:rPr>
                <w:rFonts w:asciiTheme="majorHAnsi" w:eastAsia="Times New Roman" w:hAnsiTheme="majorHAnsi" w:cs="Times New Roman"/>
                <w:sz w:val="30"/>
                <w:szCs w:val="30"/>
                <w:lang w:eastAsia="ru-RU"/>
              </w:rPr>
              <w:t xml:space="preserve"> ДО</w:t>
            </w:r>
            <w:r w:rsidR="005D567F" w:rsidRPr="00565679">
              <w:rPr>
                <w:rFonts w:asciiTheme="majorHAnsi" w:eastAsia="Times New Roman" w:hAnsiTheme="majorHAnsi" w:cs="Times New Roman"/>
                <w:sz w:val="30"/>
                <w:szCs w:val="30"/>
                <w:lang w:eastAsia="ru-RU"/>
              </w:rPr>
              <w:t>У</w:t>
            </w:r>
            <w:r w:rsidRPr="00565679">
              <w:rPr>
                <w:rFonts w:asciiTheme="majorHAnsi" w:eastAsia="Times New Roman" w:hAnsiTheme="majorHAnsi" w:cs="Times New Roman"/>
                <w:sz w:val="30"/>
                <w:szCs w:val="30"/>
                <w:lang w:eastAsia="ru-RU"/>
              </w:rPr>
              <w:t> отчитывается перед родителями (законными представителями) о расходовании внебюджетных средств за текущий год.</w:t>
            </w:r>
          </w:p>
        </w:tc>
      </w:tr>
      <w:tr w:rsidR="005D567F" w:rsidRPr="005D567F" w:rsidTr="005D567F">
        <w:trPr>
          <w:jc w:val="center"/>
        </w:trPr>
        <w:tc>
          <w:tcPr>
            <w:tcW w:w="14600" w:type="dxa"/>
            <w:shd w:val="clear" w:color="auto" w:fill="FFFFFF" w:themeFill="background1"/>
            <w:vAlign w:val="center"/>
            <w:hideMark/>
          </w:tcPr>
          <w:p w:rsidR="00011CD7" w:rsidRPr="00565679" w:rsidRDefault="00011CD7" w:rsidP="00011CD7">
            <w:pPr>
              <w:spacing w:before="100" w:beforeAutospacing="1" w:after="0" w:line="240" w:lineRule="auto"/>
              <w:rPr>
                <w:rFonts w:asciiTheme="majorHAnsi" w:eastAsia="Times New Roman" w:hAnsiTheme="majorHAnsi" w:cs="Times New Roman"/>
                <w:sz w:val="4"/>
                <w:szCs w:val="4"/>
                <w:lang w:eastAsia="ru-RU"/>
              </w:rPr>
            </w:pPr>
            <w:r w:rsidRPr="00565679">
              <w:rPr>
                <w:rFonts w:asciiTheme="majorHAnsi" w:eastAsia="Times New Roman" w:hAnsiTheme="majorHAnsi" w:cs="Times New Roman"/>
                <w:sz w:val="16"/>
                <w:szCs w:val="16"/>
                <w:lang w:eastAsia="ru-RU"/>
              </w:rPr>
              <w:lastRenderedPageBreak/>
              <w:t> </w:t>
            </w:r>
          </w:p>
        </w:tc>
      </w:tr>
      <w:tr w:rsidR="005D567F" w:rsidRPr="005D567F" w:rsidTr="005D567F">
        <w:trPr>
          <w:trHeight w:val="2950"/>
          <w:jc w:val="center"/>
        </w:trPr>
        <w:tc>
          <w:tcPr>
            <w:tcW w:w="14600" w:type="dxa"/>
            <w:shd w:val="clear" w:color="auto" w:fill="FFFFFF" w:themeFill="background1"/>
            <w:vAlign w:val="center"/>
            <w:hideMark/>
          </w:tcPr>
          <w:p w:rsidR="00011CD7" w:rsidRPr="00565679" w:rsidRDefault="00011CD7" w:rsidP="00011CD7">
            <w:pPr>
              <w:spacing w:before="96" w:after="192" w:line="240" w:lineRule="auto"/>
              <w:jc w:val="center"/>
              <w:rPr>
                <w:rFonts w:asciiTheme="majorHAnsi" w:eastAsia="Times New Roman" w:hAnsiTheme="majorHAnsi" w:cs="Times New Roman"/>
                <w:sz w:val="16"/>
                <w:szCs w:val="16"/>
                <w:lang w:eastAsia="ru-RU"/>
              </w:rPr>
            </w:pPr>
            <w:r w:rsidRPr="00565679">
              <w:rPr>
                <w:rFonts w:asciiTheme="majorHAnsi" w:eastAsia="Times New Roman" w:hAnsiTheme="majorHAnsi" w:cs="Times New Roman"/>
                <w:b/>
                <w:bCs/>
                <w:sz w:val="30"/>
                <w:szCs w:val="30"/>
                <w:lang w:eastAsia="ru-RU"/>
              </w:rPr>
              <w:t>Статья 582. Пожертвования</w:t>
            </w:r>
          </w:p>
          <w:p w:rsidR="00011CD7" w:rsidRPr="00565679" w:rsidRDefault="00011CD7" w:rsidP="00011CD7">
            <w:pPr>
              <w:spacing w:before="96" w:after="192" w:line="240" w:lineRule="auto"/>
              <w:jc w:val="center"/>
              <w:rPr>
                <w:rFonts w:asciiTheme="majorHAnsi" w:eastAsia="Times New Roman" w:hAnsiTheme="majorHAnsi" w:cs="Times New Roman"/>
                <w:sz w:val="16"/>
                <w:szCs w:val="16"/>
                <w:lang w:eastAsia="ru-RU"/>
              </w:rPr>
            </w:pPr>
            <w:r w:rsidRPr="00565679">
              <w:rPr>
                <w:rFonts w:asciiTheme="majorHAnsi" w:eastAsia="Times New Roman" w:hAnsiTheme="majorHAnsi" w:cs="Times New Roman"/>
                <w:b/>
                <w:bCs/>
                <w:sz w:val="30"/>
                <w:szCs w:val="30"/>
                <w:lang w:eastAsia="ru-RU"/>
              </w:rPr>
              <w:t>[Гражданский кодекс РФ] [Глава 32] [Статья 582]</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1. Пожертвованием признается дарение вещи или права в общеполезных целях. Пожертвования могут делаться гражданам, лечебным, воспитательным учреждениям,</w:t>
            </w:r>
            <w:r w:rsidR="005D567F" w:rsidRPr="00565679">
              <w:rPr>
                <w:rFonts w:asciiTheme="majorHAnsi" w:eastAsia="Times New Roman" w:hAnsiTheme="majorHAnsi" w:cs="Times New Roman"/>
                <w:sz w:val="30"/>
                <w:szCs w:val="30"/>
                <w:lang w:eastAsia="ru-RU"/>
              </w:rPr>
              <w:t xml:space="preserve"> </w:t>
            </w:r>
            <w:r w:rsidRPr="00565679">
              <w:rPr>
                <w:rFonts w:asciiTheme="majorHAnsi" w:eastAsia="Times New Roman" w:hAnsiTheme="majorHAnsi" w:cs="Times New Roman"/>
                <w:sz w:val="30"/>
                <w:szCs w:val="30"/>
                <w:lang w:eastAsia="ru-RU"/>
              </w:rPr>
              <w:t>учреждениям социальной защиты и другим аналогичным учреждениям, благотворительным,</w:t>
            </w:r>
            <w:r w:rsidR="005D567F" w:rsidRPr="00565679">
              <w:rPr>
                <w:rFonts w:asciiTheme="majorHAnsi" w:eastAsia="Times New Roman" w:hAnsiTheme="majorHAnsi" w:cs="Times New Roman"/>
                <w:sz w:val="30"/>
                <w:szCs w:val="30"/>
                <w:lang w:eastAsia="ru-RU"/>
              </w:rPr>
              <w:t xml:space="preserve"> </w:t>
            </w:r>
            <w:r w:rsidRPr="00565679">
              <w:rPr>
                <w:rFonts w:asciiTheme="majorHAnsi" w:eastAsia="Times New Roman" w:hAnsiTheme="majorHAnsi" w:cs="Times New Roman"/>
                <w:sz w:val="30"/>
                <w:szCs w:val="30"/>
                <w:lang w:eastAsia="ru-RU"/>
              </w:rPr>
              <w:t>научным и образовательным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статье 124 настоящего Кодекса.</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2. На принятие пожертвования не требуется чьего-либо разрешения или согласия.</w:t>
            </w:r>
          </w:p>
          <w:p w:rsidR="00011CD7" w:rsidRPr="00565679" w:rsidRDefault="005D567F"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3. </w:t>
            </w:r>
            <w:r w:rsidR="00011CD7" w:rsidRPr="00565679">
              <w:rPr>
                <w:rFonts w:asciiTheme="majorHAnsi" w:eastAsia="Times New Roman" w:hAnsiTheme="majorHAnsi" w:cs="Times New Roman"/>
                <w:sz w:val="30"/>
                <w:szCs w:val="30"/>
                <w:lang w:eastAsia="ru-RU"/>
              </w:rPr>
              <w:t xml:space="preserve">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w:t>
            </w:r>
            <w:r w:rsidR="00011CD7" w:rsidRPr="00565679">
              <w:rPr>
                <w:rFonts w:asciiTheme="majorHAnsi" w:eastAsia="Times New Roman" w:hAnsiTheme="majorHAnsi" w:cs="Times New Roman"/>
                <w:sz w:val="30"/>
                <w:szCs w:val="30"/>
                <w:lang w:eastAsia="ru-RU"/>
              </w:rPr>
              <w:lastRenderedPageBreak/>
              <w:t>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 xml:space="preserve">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w:t>
            </w:r>
            <w:r w:rsidR="005D567F" w:rsidRPr="00565679">
              <w:rPr>
                <w:rFonts w:asciiTheme="majorHAnsi" w:eastAsia="Times New Roman" w:hAnsiTheme="majorHAnsi" w:cs="Times New Roman"/>
                <w:sz w:val="30"/>
                <w:szCs w:val="30"/>
                <w:lang w:eastAsia="ru-RU"/>
              </w:rPr>
              <w:t>-</w:t>
            </w:r>
            <w:r w:rsidRPr="00565679">
              <w:rPr>
                <w:rFonts w:asciiTheme="majorHAnsi" w:eastAsia="Times New Roman" w:hAnsiTheme="majorHAnsi" w:cs="Times New Roman"/>
                <w:sz w:val="30"/>
                <w:szCs w:val="30"/>
                <w:lang w:eastAsia="ru-RU"/>
              </w:rPr>
              <w:t xml:space="preserve"> жертвователя по решению суда.</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пунктом 4 настоящей статьи, дает право жертвователю, его наследникам или иному правопреемнику требовать отмены пожертвования.</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 xml:space="preserve">6. К пожертвованиям не применяются статьи 578 и 581 настоящего Кодекса. </w:t>
            </w:r>
          </w:p>
        </w:tc>
      </w:tr>
      <w:tr w:rsidR="005D567F" w:rsidRPr="005D567F" w:rsidTr="005D567F">
        <w:trPr>
          <w:jc w:val="center"/>
        </w:trPr>
        <w:tc>
          <w:tcPr>
            <w:tcW w:w="14600" w:type="dxa"/>
            <w:shd w:val="clear" w:color="auto" w:fill="FFFFFF" w:themeFill="background1"/>
            <w:vAlign w:val="center"/>
            <w:hideMark/>
          </w:tcPr>
          <w:p w:rsidR="00011CD7" w:rsidRPr="00565679" w:rsidRDefault="00011CD7" w:rsidP="00011CD7">
            <w:pPr>
              <w:spacing w:before="100" w:beforeAutospacing="1" w:after="0" w:line="240" w:lineRule="auto"/>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16"/>
                <w:szCs w:val="16"/>
                <w:lang w:eastAsia="ru-RU"/>
              </w:rPr>
              <w:lastRenderedPageBreak/>
              <w:t> </w:t>
            </w:r>
          </w:p>
        </w:tc>
      </w:tr>
      <w:tr w:rsidR="005D567F" w:rsidRPr="005D567F" w:rsidTr="005D567F">
        <w:trPr>
          <w:jc w:val="center"/>
        </w:trPr>
        <w:tc>
          <w:tcPr>
            <w:tcW w:w="14600" w:type="dxa"/>
            <w:shd w:val="clear" w:color="auto" w:fill="FFFFFF" w:themeFill="background1"/>
            <w:vAlign w:val="center"/>
            <w:hideMark/>
          </w:tcPr>
          <w:p w:rsidR="00011CD7" w:rsidRPr="00565679" w:rsidRDefault="00011CD7" w:rsidP="00011CD7">
            <w:pPr>
              <w:spacing w:before="96" w:after="192" w:line="240" w:lineRule="auto"/>
              <w:jc w:val="center"/>
              <w:rPr>
                <w:rFonts w:asciiTheme="majorHAnsi" w:eastAsia="Times New Roman" w:hAnsiTheme="majorHAnsi" w:cs="Times New Roman"/>
                <w:b/>
                <w:sz w:val="16"/>
                <w:szCs w:val="16"/>
                <w:lang w:eastAsia="ru-RU"/>
              </w:rPr>
            </w:pPr>
            <w:r w:rsidRPr="00565679">
              <w:rPr>
                <w:rFonts w:asciiTheme="majorHAnsi" w:eastAsia="Times New Roman" w:hAnsiTheme="majorHAnsi" w:cs="Times New Roman"/>
                <w:b/>
                <w:sz w:val="30"/>
                <w:szCs w:val="30"/>
                <w:lang w:eastAsia="ru-RU"/>
              </w:rPr>
              <w:t>ФЕДЕРАЛЬНЫЙ ЗАКОН</w:t>
            </w:r>
          </w:p>
          <w:p w:rsidR="00011CD7" w:rsidRPr="00565679" w:rsidRDefault="00011CD7" w:rsidP="00011CD7">
            <w:pPr>
              <w:spacing w:before="96" w:after="192" w:line="240" w:lineRule="auto"/>
              <w:jc w:val="center"/>
              <w:rPr>
                <w:rFonts w:asciiTheme="majorHAnsi" w:eastAsia="Times New Roman" w:hAnsiTheme="majorHAnsi" w:cs="Times New Roman"/>
                <w:b/>
                <w:sz w:val="16"/>
                <w:szCs w:val="16"/>
                <w:lang w:eastAsia="ru-RU"/>
              </w:rPr>
            </w:pPr>
            <w:r w:rsidRPr="00565679">
              <w:rPr>
                <w:rFonts w:asciiTheme="majorHAnsi" w:eastAsia="Times New Roman" w:hAnsiTheme="majorHAnsi" w:cs="Times New Roman"/>
                <w:b/>
                <w:sz w:val="30"/>
                <w:szCs w:val="30"/>
                <w:lang w:eastAsia="ru-RU"/>
              </w:rPr>
              <w:t xml:space="preserve">О БЛАГОТВОРИТЕЛЬНОЙ ДЕЯТЕЛЬНОСТИ И </w:t>
            </w:r>
            <w:proofErr w:type="gramStart"/>
            <w:r w:rsidRPr="00565679">
              <w:rPr>
                <w:rFonts w:asciiTheme="majorHAnsi" w:eastAsia="Times New Roman" w:hAnsiTheme="majorHAnsi" w:cs="Times New Roman"/>
                <w:b/>
                <w:sz w:val="30"/>
                <w:szCs w:val="30"/>
                <w:lang w:eastAsia="ru-RU"/>
              </w:rPr>
              <w:t>БЛАГОТВОРИТЕЛЬНЫХ</w:t>
            </w:r>
            <w:proofErr w:type="gramEnd"/>
          </w:p>
          <w:p w:rsidR="00011CD7" w:rsidRPr="00565679" w:rsidRDefault="00011CD7" w:rsidP="00011CD7">
            <w:pPr>
              <w:spacing w:before="96" w:after="192" w:line="240" w:lineRule="auto"/>
              <w:jc w:val="center"/>
              <w:rPr>
                <w:rFonts w:asciiTheme="majorHAnsi" w:eastAsia="Times New Roman" w:hAnsiTheme="majorHAnsi" w:cs="Times New Roman"/>
                <w:b/>
                <w:sz w:val="16"/>
                <w:szCs w:val="16"/>
                <w:lang w:eastAsia="ru-RU"/>
              </w:rPr>
            </w:pPr>
            <w:proofErr w:type="gramStart"/>
            <w:r w:rsidRPr="00565679">
              <w:rPr>
                <w:rFonts w:asciiTheme="majorHAnsi" w:eastAsia="Times New Roman" w:hAnsiTheme="majorHAnsi" w:cs="Times New Roman"/>
                <w:b/>
                <w:sz w:val="30"/>
                <w:szCs w:val="30"/>
                <w:lang w:eastAsia="ru-RU"/>
              </w:rPr>
              <w:t>ОРГАНИЗАЦИЯХ</w:t>
            </w:r>
            <w:proofErr w:type="gramEnd"/>
          </w:p>
          <w:p w:rsidR="00011CD7" w:rsidRPr="00565679" w:rsidRDefault="00011CD7" w:rsidP="00011CD7">
            <w:pPr>
              <w:spacing w:before="96" w:after="192" w:line="240" w:lineRule="auto"/>
              <w:jc w:val="center"/>
              <w:rPr>
                <w:rFonts w:asciiTheme="majorHAnsi" w:eastAsia="Times New Roman" w:hAnsiTheme="majorHAnsi" w:cs="Times New Roman"/>
                <w:sz w:val="16"/>
                <w:szCs w:val="16"/>
                <w:lang w:eastAsia="ru-RU"/>
              </w:rPr>
            </w:pPr>
            <w:proofErr w:type="gramStart"/>
            <w:r w:rsidRPr="00565679">
              <w:rPr>
                <w:rFonts w:asciiTheme="majorHAnsi" w:eastAsia="Times New Roman" w:hAnsiTheme="majorHAnsi" w:cs="Times New Roman"/>
                <w:sz w:val="30"/>
                <w:szCs w:val="30"/>
                <w:lang w:eastAsia="ru-RU"/>
              </w:rPr>
              <w:t>Принят</w:t>
            </w:r>
            <w:proofErr w:type="gramEnd"/>
            <w:r w:rsidRPr="00565679">
              <w:rPr>
                <w:rFonts w:asciiTheme="majorHAnsi" w:eastAsia="Times New Roman" w:hAnsiTheme="majorHAnsi" w:cs="Times New Roman"/>
                <w:sz w:val="30"/>
                <w:szCs w:val="30"/>
                <w:lang w:eastAsia="ru-RU"/>
              </w:rPr>
              <w:t xml:space="preserve"> Государственной Думой 7 июля 1995 года</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 xml:space="preserve">1. Пожертвованием признается дарение вещи или права в общеполезных целях. Пожертвования могут </w:t>
            </w:r>
            <w:r w:rsidRPr="00565679">
              <w:rPr>
                <w:rFonts w:asciiTheme="majorHAnsi" w:eastAsia="Times New Roman" w:hAnsiTheme="majorHAnsi" w:cs="Times New Roman"/>
                <w:sz w:val="30"/>
                <w:szCs w:val="30"/>
                <w:lang w:eastAsia="ru-RU"/>
              </w:rPr>
              <w:lastRenderedPageBreak/>
              <w:t>делаться гражданам, лечебным, воспитательным учреждениям,</w:t>
            </w:r>
            <w:r w:rsidR="005D567F" w:rsidRPr="00565679">
              <w:rPr>
                <w:rFonts w:asciiTheme="majorHAnsi" w:eastAsia="Times New Roman" w:hAnsiTheme="majorHAnsi" w:cs="Times New Roman"/>
                <w:sz w:val="30"/>
                <w:szCs w:val="30"/>
                <w:lang w:eastAsia="ru-RU"/>
              </w:rPr>
              <w:t xml:space="preserve"> </w:t>
            </w:r>
            <w:r w:rsidRPr="00565679">
              <w:rPr>
                <w:rFonts w:asciiTheme="majorHAnsi" w:eastAsia="Times New Roman" w:hAnsiTheme="majorHAnsi" w:cs="Times New Roman"/>
                <w:sz w:val="30"/>
                <w:szCs w:val="30"/>
                <w:lang w:eastAsia="ru-RU"/>
              </w:rPr>
              <w:t>учреждениям социальной защиты и другим аналогичным учреждениям, благотворительным,</w:t>
            </w:r>
            <w:r w:rsidR="005D567F" w:rsidRPr="00565679">
              <w:rPr>
                <w:rFonts w:asciiTheme="majorHAnsi" w:eastAsia="Times New Roman" w:hAnsiTheme="majorHAnsi" w:cs="Times New Roman"/>
                <w:sz w:val="30"/>
                <w:szCs w:val="30"/>
                <w:lang w:eastAsia="ru-RU"/>
              </w:rPr>
              <w:t xml:space="preserve"> </w:t>
            </w:r>
            <w:r w:rsidRPr="00565679">
              <w:rPr>
                <w:rFonts w:asciiTheme="majorHAnsi" w:eastAsia="Times New Roman" w:hAnsiTheme="majorHAnsi" w:cs="Times New Roman"/>
                <w:sz w:val="30"/>
                <w:szCs w:val="30"/>
                <w:lang w:eastAsia="ru-RU"/>
              </w:rPr>
              <w:t>научным и образовательным организациям, фондам, музеям и другим учреждениям</w:t>
            </w:r>
            <w:r w:rsidR="005D567F" w:rsidRPr="00565679">
              <w:rPr>
                <w:rFonts w:asciiTheme="majorHAnsi" w:eastAsia="Times New Roman" w:hAnsiTheme="majorHAnsi" w:cs="Times New Roman"/>
                <w:sz w:val="30"/>
                <w:szCs w:val="30"/>
                <w:lang w:eastAsia="ru-RU"/>
              </w:rPr>
              <w:t xml:space="preserve"> </w:t>
            </w:r>
            <w:r w:rsidRPr="00565679">
              <w:rPr>
                <w:rFonts w:asciiTheme="majorHAnsi" w:eastAsia="Times New Roman" w:hAnsiTheme="majorHAnsi" w:cs="Times New Roman"/>
                <w:sz w:val="30"/>
                <w:szCs w:val="30"/>
                <w:lang w:eastAsia="ru-RU"/>
              </w:rPr>
              <w:t xml:space="preserve">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5" w:tooltip="СТ 124 ГК РФ" w:history="1">
              <w:r w:rsidRPr="00565679">
                <w:rPr>
                  <w:rFonts w:asciiTheme="majorHAnsi" w:eastAsia="Times New Roman" w:hAnsiTheme="majorHAnsi" w:cs="Times New Roman"/>
                  <w:b/>
                  <w:bCs/>
                  <w:sz w:val="30"/>
                  <w:szCs w:val="30"/>
                  <w:lang w:eastAsia="ru-RU"/>
                </w:rPr>
                <w:t>статье 124</w:t>
              </w:r>
            </w:hyperlink>
            <w:r w:rsidRPr="00565679">
              <w:rPr>
                <w:rFonts w:asciiTheme="majorHAnsi" w:eastAsia="Times New Roman" w:hAnsiTheme="majorHAnsi" w:cs="Times New Roman"/>
                <w:sz w:val="30"/>
                <w:szCs w:val="30"/>
                <w:lang w:eastAsia="ru-RU"/>
              </w:rPr>
              <w:t xml:space="preserve"> настоящего Кодекса.</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2. На принятие пожертвования не требуется чьего-либо разрешения или согласия.</w:t>
            </w:r>
          </w:p>
          <w:p w:rsidR="00011CD7" w:rsidRPr="00565679" w:rsidRDefault="005D567F"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3. </w:t>
            </w:r>
            <w:r w:rsidR="00011CD7" w:rsidRPr="00565679">
              <w:rPr>
                <w:rFonts w:asciiTheme="majorHAnsi" w:eastAsia="Times New Roman" w:hAnsiTheme="majorHAnsi" w:cs="Times New Roman"/>
                <w:sz w:val="30"/>
                <w:szCs w:val="30"/>
                <w:lang w:eastAsia="ru-RU"/>
              </w:rPr>
              <w:t>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011CD7" w:rsidRPr="00565679" w:rsidRDefault="008D6B3B" w:rsidP="005D567F">
            <w:pPr>
              <w:spacing w:before="96" w:after="192" w:line="240" w:lineRule="auto"/>
              <w:jc w:val="both"/>
              <w:rPr>
                <w:rFonts w:asciiTheme="majorHAnsi" w:eastAsia="Times New Roman" w:hAnsiTheme="majorHAnsi" w:cs="Times New Roman"/>
                <w:sz w:val="16"/>
                <w:szCs w:val="16"/>
                <w:lang w:eastAsia="ru-RU"/>
              </w:rPr>
            </w:pPr>
            <w:r>
              <w:rPr>
                <w:rFonts w:asciiTheme="majorHAnsi" w:eastAsia="Times New Roman" w:hAnsiTheme="majorHAnsi" w:cs="Times New Roman"/>
                <w:sz w:val="30"/>
                <w:szCs w:val="30"/>
                <w:lang w:eastAsia="ru-RU"/>
              </w:rPr>
              <w:t>4. </w:t>
            </w:r>
            <w:r w:rsidR="00011CD7" w:rsidRPr="00565679">
              <w:rPr>
                <w:rFonts w:asciiTheme="majorHAnsi" w:eastAsia="Times New Roman" w:hAnsiTheme="majorHAnsi" w:cs="Times New Roman"/>
                <w:sz w:val="30"/>
                <w:szCs w:val="30"/>
                <w:lang w:eastAsia="ru-RU"/>
              </w:rPr>
              <w:t xml:space="preserve">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w:t>
            </w:r>
            <w:r>
              <w:rPr>
                <w:rFonts w:asciiTheme="majorHAnsi" w:eastAsia="Times New Roman" w:hAnsiTheme="majorHAnsi" w:cs="Times New Roman"/>
                <w:sz w:val="30"/>
                <w:szCs w:val="30"/>
                <w:lang w:eastAsia="ru-RU"/>
              </w:rPr>
              <w:t>-</w:t>
            </w:r>
            <w:r w:rsidR="00011CD7" w:rsidRPr="00565679">
              <w:rPr>
                <w:rFonts w:asciiTheme="majorHAnsi" w:eastAsia="Times New Roman" w:hAnsiTheme="majorHAnsi" w:cs="Times New Roman"/>
                <w:sz w:val="30"/>
                <w:szCs w:val="30"/>
                <w:lang w:eastAsia="ru-RU"/>
              </w:rPr>
              <w:t xml:space="preserve"> жертвователя по решению суда.</w:t>
            </w:r>
          </w:p>
          <w:p w:rsidR="00011CD7" w:rsidRPr="00565679" w:rsidRDefault="008D6B3B" w:rsidP="005D567F">
            <w:pPr>
              <w:spacing w:before="96" w:after="192" w:line="240" w:lineRule="auto"/>
              <w:jc w:val="both"/>
              <w:rPr>
                <w:rFonts w:asciiTheme="majorHAnsi" w:eastAsia="Times New Roman" w:hAnsiTheme="majorHAnsi" w:cs="Times New Roman"/>
                <w:sz w:val="16"/>
                <w:szCs w:val="16"/>
                <w:lang w:eastAsia="ru-RU"/>
              </w:rPr>
            </w:pPr>
            <w:r>
              <w:rPr>
                <w:rFonts w:asciiTheme="majorHAnsi" w:eastAsia="Times New Roman" w:hAnsiTheme="majorHAnsi" w:cs="Times New Roman"/>
                <w:sz w:val="30"/>
                <w:szCs w:val="30"/>
                <w:lang w:eastAsia="ru-RU"/>
              </w:rPr>
              <w:t>5. </w:t>
            </w:r>
            <w:r w:rsidR="00011CD7" w:rsidRPr="00565679">
              <w:rPr>
                <w:rFonts w:asciiTheme="majorHAnsi" w:eastAsia="Times New Roman" w:hAnsiTheme="majorHAnsi" w:cs="Times New Roman"/>
                <w:sz w:val="30"/>
                <w:szCs w:val="30"/>
                <w:lang w:eastAsia="ru-RU"/>
              </w:rPr>
              <w:t>Использование пожертвованного имущества не в соответствии с указанным жертвователем назначением или изменение этого назначения с на</w:t>
            </w:r>
            <w:bookmarkStart w:id="0" w:name="_GoBack"/>
            <w:bookmarkEnd w:id="0"/>
            <w:r w:rsidR="00011CD7" w:rsidRPr="00565679">
              <w:rPr>
                <w:rFonts w:asciiTheme="majorHAnsi" w:eastAsia="Times New Roman" w:hAnsiTheme="majorHAnsi" w:cs="Times New Roman"/>
                <w:sz w:val="30"/>
                <w:szCs w:val="30"/>
                <w:lang w:eastAsia="ru-RU"/>
              </w:rPr>
              <w:t>рушением правил,</w:t>
            </w:r>
            <w:r w:rsidR="005D567F" w:rsidRPr="00565679">
              <w:rPr>
                <w:rFonts w:asciiTheme="majorHAnsi" w:eastAsia="Times New Roman" w:hAnsiTheme="majorHAnsi" w:cs="Times New Roman"/>
                <w:sz w:val="30"/>
                <w:szCs w:val="30"/>
                <w:lang w:eastAsia="ru-RU"/>
              </w:rPr>
              <w:t xml:space="preserve"> </w:t>
            </w:r>
            <w:r w:rsidR="00011CD7" w:rsidRPr="00565679">
              <w:rPr>
                <w:rFonts w:asciiTheme="majorHAnsi" w:eastAsia="Times New Roman" w:hAnsiTheme="majorHAnsi" w:cs="Times New Roman"/>
                <w:sz w:val="30"/>
                <w:szCs w:val="30"/>
                <w:lang w:eastAsia="ru-RU"/>
              </w:rPr>
              <w:t>предусмотренных пунктом 4 настоящей статьи, дает право жертвователю, его наследникам или иному правопреемнику требовать отмены пожертвования.</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lastRenderedPageBreak/>
              <w:t xml:space="preserve">6. К пожертвованиям не применяются </w:t>
            </w:r>
            <w:hyperlink r:id="rId6" w:tooltip="СТ 578 ГК РФ" w:history="1">
              <w:r w:rsidRPr="00565679">
                <w:rPr>
                  <w:rFonts w:asciiTheme="majorHAnsi" w:eastAsia="Times New Roman" w:hAnsiTheme="majorHAnsi" w:cs="Times New Roman"/>
                  <w:b/>
                  <w:bCs/>
                  <w:sz w:val="30"/>
                  <w:szCs w:val="30"/>
                  <w:lang w:eastAsia="ru-RU"/>
                </w:rPr>
                <w:t>статьи 578</w:t>
              </w:r>
            </w:hyperlink>
            <w:r w:rsidRPr="00565679">
              <w:rPr>
                <w:rFonts w:asciiTheme="majorHAnsi" w:eastAsia="Times New Roman" w:hAnsiTheme="majorHAnsi" w:cs="Times New Roman"/>
                <w:sz w:val="30"/>
                <w:szCs w:val="30"/>
                <w:lang w:eastAsia="ru-RU"/>
              </w:rPr>
              <w:t xml:space="preserve"> и </w:t>
            </w:r>
            <w:hyperlink r:id="rId7" w:tooltip="СТ 581 ГК РФ" w:history="1">
              <w:r w:rsidRPr="00565679">
                <w:rPr>
                  <w:rFonts w:asciiTheme="majorHAnsi" w:eastAsia="Times New Roman" w:hAnsiTheme="majorHAnsi" w:cs="Times New Roman"/>
                  <w:b/>
                  <w:bCs/>
                  <w:sz w:val="30"/>
                  <w:szCs w:val="30"/>
                  <w:lang w:eastAsia="ru-RU"/>
                </w:rPr>
                <w:t>581</w:t>
              </w:r>
            </w:hyperlink>
            <w:r w:rsidRPr="00565679">
              <w:rPr>
                <w:rFonts w:asciiTheme="majorHAnsi" w:eastAsia="Times New Roman" w:hAnsiTheme="majorHAnsi" w:cs="Times New Roman"/>
                <w:sz w:val="30"/>
                <w:szCs w:val="30"/>
                <w:lang w:eastAsia="ru-RU"/>
              </w:rPr>
              <w:t xml:space="preserve"> настоящего Кодекса. </w:t>
            </w:r>
          </w:p>
        </w:tc>
      </w:tr>
      <w:tr w:rsidR="005D567F" w:rsidRPr="00565679" w:rsidTr="005D567F">
        <w:trPr>
          <w:jc w:val="center"/>
        </w:trPr>
        <w:tc>
          <w:tcPr>
            <w:tcW w:w="14600" w:type="dxa"/>
            <w:shd w:val="clear" w:color="auto" w:fill="FFFFFF" w:themeFill="background1"/>
            <w:vAlign w:val="center"/>
            <w:hideMark/>
          </w:tcPr>
          <w:p w:rsidR="00011CD7" w:rsidRPr="00565679" w:rsidRDefault="00011CD7" w:rsidP="00011CD7">
            <w:pPr>
              <w:spacing w:before="100" w:beforeAutospacing="1" w:after="0" w:line="240" w:lineRule="auto"/>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16"/>
                <w:szCs w:val="16"/>
                <w:lang w:eastAsia="ru-RU"/>
              </w:rPr>
              <w:lastRenderedPageBreak/>
              <w:t> </w:t>
            </w:r>
          </w:p>
          <w:p w:rsidR="00011CD7" w:rsidRPr="00565679" w:rsidRDefault="00011CD7" w:rsidP="00011CD7">
            <w:pPr>
              <w:spacing w:before="96" w:after="192" w:line="240" w:lineRule="auto"/>
              <w:jc w:val="center"/>
              <w:rPr>
                <w:rFonts w:asciiTheme="majorHAnsi" w:eastAsia="Times New Roman" w:hAnsiTheme="majorHAnsi" w:cs="Times New Roman"/>
                <w:sz w:val="16"/>
                <w:szCs w:val="16"/>
                <w:lang w:eastAsia="ru-RU"/>
              </w:rPr>
            </w:pPr>
            <w:r w:rsidRPr="00565679">
              <w:rPr>
                <w:rFonts w:asciiTheme="majorHAnsi" w:eastAsia="Times New Roman" w:hAnsiTheme="majorHAnsi" w:cs="Times New Roman"/>
                <w:b/>
                <w:bCs/>
                <w:sz w:val="30"/>
                <w:szCs w:val="30"/>
                <w:lang w:eastAsia="ru-RU"/>
              </w:rPr>
              <w:t>Порядок обжалования неправомерных действий по привлечению дополнительных финансовых средств в ДО</w:t>
            </w:r>
            <w:r w:rsidR="005D567F" w:rsidRPr="00565679">
              <w:rPr>
                <w:rFonts w:asciiTheme="majorHAnsi" w:eastAsia="Times New Roman" w:hAnsiTheme="majorHAnsi" w:cs="Times New Roman"/>
                <w:b/>
                <w:bCs/>
                <w:sz w:val="30"/>
                <w:szCs w:val="30"/>
                <w:lang w:eastAsia="ru-RU"/>
              </w:rPr>
              <w:t>У</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 xml:space="preserve">Жертвователем может быть обусловлено использование пожертвования по определенному назначению (п.3 ст.582 ГК РФ), тогда жертвователь может требовать отчета об использовании средств, и если они были использованы не по назначению, потребовать их возврата (п.5 ст.582 ГК РФ). Например, можно пожертвовать образовательному учреждению деньги конкретно на оплату услуг охранной организации. Возможно и пожертвование без указания определенного назначения использования средств. В любом случае передача денег должна осуществляться в безналичном порядке путем перечисления на банковский счет образовательного учреждения либо на счет благотворительного фонда, из средств которого </w:t>
            </w:r>
            <w:proofErr w:type="gramStart"/>
            <w:r w:rsidRPr="00565679">
              <w:rPr>
                <w:rFonts w:asciiTheme="majorHAnsi" w:eastAsia="Times New Roman" w:hAnsiTheme="majorHAnsi" w:cs="Times New Roman"/>
                <w:sz w:val="30"/>
                <w:szCs w:val="30"/>
                <w:lang w:eastAsia="ru-RU"/>
              </w:rPr>
              <w:t>в последствии</w:t>
            </w:r>
            <w:proofErr w:type="gramEnd"/>
            <w:r w:rsidRPr="00565679">
              <w:rPr>
                <w:rFonts w:asciiTheme="majorHAnsi" w:eastAsia="Times New Roman" w:hAnsiTheme="majorHAnsi" w:cs="Times New Roman"/>
                <w:sz w:val="30"/>
                <w:szCs w:val="30"/>
                <w:lang w:eastAsia="ru-RU"/>
              </w:rPr>
              <w:t xml:space="preserve"> выделяется помощь образовательному учреждению.</w:t>
            </w:r>
          </w:p>
          <w:p w:rsidR="00011CD7" w:rsidRPr="00565679" w:rsidRDefault="00011CD7" w:rsidP="005D567F">
            <w:pPr>
              <w:spacing w:before="96" w:after="192" w:line="240" w:lineRule="auto"/>
              <w:jc w:val="both"/>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 xml:space="preserve">В том случае, если под видом добровольных пожертвований деньги собирают фактически принудительно, Вы имеете право обратиться с жалобой по телефонам «горячей линии» в </w:t>
            </w:r>
            <w:r w:rsidR="005D567F" w:rsidRPr="00565679">
              <w:rPr>
                <w:rFonts w:asciiTheme="majorHAnsi" w:eastAsia="Times New Roman" w:hAnsiTheme="majorHAnsi" w:cs="Times New Roman"/>
                <w:sz w:val="30"/>
                <w:szCs w:val="30"/>
                <w:lang w:eastAsia="ru-RU"/>
              </w:rPr>
              <w:t>МКУ «</w:t>
            </w:r>
            <w:r w:rsidRPr="00565679">
              <w:rPr>
                <w:rFonts w:asciiTheme="majorHAnsi" w:eastAsia="Times New Roman" w:hAnsiTheme="majorHAnsi" w:cs="Times New Roman"/>
                <w:sz w:val="30"/>
                <w:szCs w:val="30"/>
                <w:lang w:eastAsia="ru-RU"/>
              </w:rPr>
              <w:t>Управлени</w:t>
            </w:r>
            <w:r w:rsidR="005D567F" w:rsidRPr="00565679">
              <w:rPr>
                <w:rFonts w:asciiTheme="majorHAnsi" w:eastAsia="Times New Roman" w:hAnsiTheme="majorHAnsi" w:cs="Times New Roman"/>
                <w:sz w:val="30"/>
                <w:szCs w:val="30"/>
                <w:lang w:eastAsia="ru-RU"/>
              </w:rPr>
              <w:t>е</w:t>
            </w:r>
            <w:r w:rsidRPr="00565679">
              <w:rPr>
                <w:rFonts w:asciiTheme="majorHAnsi" w:eastAsia="Times New Roman" w:hAnsiTheme="majorHAnsi" w:cs="Times New Roman"/>
                <w:sz w:val="30"/>
                <w:szCs w:val="30"/>
                <w:lang w:eastAsia="ru-RU"/>
              </w:rPr>
              <w:t xml:space="preserve"> образования</w:t>
            </w:r>
            <w:r w:rsidR="005D567F" w:rsidRPr="00565679">
              <w:rPr>
                <w:rFonts w:asciiTheme="majorHAnsi" w:eastAsia="Times New Roman" w:hAnsiTheme="majorHAnsi" w:cs="Times New Roman"/>
                <w:sz w:val="30"/>
                <w:szCs w:val="30"/>
                <w:lang w:eastAsia="ru-RU"/>
              </w:rPr>
              <w:t>»</w:t>
            </w:r>
            <w:r w:rsidRPr="00565679">
              <w:rPr>
                <w:rFonts w:asciiTheme="majorHAnsi" w:eastAsia="Times New Roman" w:hAnsiTheme="majorHAnsi" w:cs="Times New Roman"/>
                <w:sz w:val="30"/>
                <w:szCs w:val="30"/>
                <w:lang w:eastAsia="ru-RU"/>
              </w:rPr>
              <w:t xml:space="preserve"> администрации города </w:t>
            </w:r>
            <w:r w:rsidR="005D567F" w:rsidRPr="00565679">
              <w:rPr>
                <w:rFonts w:asciiTheme="majorHAnsi" w:eastAsia="Times New Roman" w:hAnsiTheme="majorHAnsi" w:cs="Times New Roman"/>
                <w:sz w:val="30"/>
                <w:szCs w:val="30"/>
                <w:lang w:eastAsia="ru-RU"/>
              </w:rPr>
              <w:t>Махачкалы</w:t>
            </w:r>
            <w:r w:rsidRPr="00565679">
              <w:rPr>
                <w:rFonts w:asciiTheme="majorHAnsi" w:eastAsia="Times New Roman" w:hAnsiTheme="majorHAnsi" w:cs="Times New Roman"/>
                <w:sz w:val="30"/>
                <w:szCs w:val="30"/>
                <w:lang w:eastAsia="ru-RU"/>
              </w:rPr>
              <w:t xml:space="preserve"> для обращений по вопросам незаконных сборов денежных средств:</w:t>
            </w:r>
            <w:r w:rsidRPr="00565679">
              <w:rPr>
                <w:rFonts w:asciiTheme="majorHAnsi" w:eastAsia="Times New Roman" w:hAnsiTheme="majorHAnsi" w:cs="Times New Roman"/>
                <w:sz w:val="16"/>
                <w:szCs w:val="16"/>
                <w:lang w:eastAsia="ru-RU"/>
              </w:rPr>
              <w:t xml:space="preserve"> </w:t>
            </w:r>
          </w:p>
        </w:tc>
      </w:tr>
      <w:tr w:rsidR="005D567F" w:rsidRPr="00565679" w:rsidTr="005D567F">
        <w:trPr>
          <w:jc w:val="center"/>
        </w:trPr>
        <w:tc>
          <w:tcPr>
            <w:tcW w:w="14600" w:type="dxa"/>
            <w:shd w:val="clear" w:color="auto" w:fill="FFFFFF" w:themeFill="background1"/>
            <w:vAlign w:val="center"/>
            <w:hideMark/>
          </w:tcPr>
          <w:p w:rsidR="00011CD7" w:rsidRPr="00565679" w:rsidRDefault="00011CD7" w:rsidP="00011CD7">
            <w:pPr>
              <w:spacing w:before="96" w:after="192" w:line="240" w:lineRule="auto"/>
              <w:jc w:val="center"/>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По вопросам незаконных сборов денежных средств</w:t>
            </w:r>
          </w:p>
          <w:p w:rsidR="00011CD7" w:rsidRPr="00565679" w:rsidRDefault="00011CD7" w:rsidP="00011CD7">
            <w:pPr>
              <w:spacing w:before="96" w:after="192" w:line="240" w:lineRule="auto"/>
              <w:jc w:val="center"/>
              <w:rPr>
                <w:rFonts w:asciiTheme="majorHAnsi" w:eastAsia="Times New Roman" w:hAnsiTheme="majorHAnsi" w:cs="Times New Roman"/>
                <w:sz w:val="16"/>
                <w:szCs w:val="16"/>
                <w:lang w:eastAsia="ru-RU"/>
              </w:rPr>
            </w:pPr>
            <w:r w:rsidRPr="00565679">
              <w:rPr>
                <w:rFonts w:asciiTheme="majorHAnsi" w:eastAsia="Times New Roman" w:hAnsiTheme="majorHAnsi" w:cs="Times New Roman"/>
                <w:sz w:val="30"/>
                <w:szCs w:val="30"/>
                <w:lang w:eastAsia="ru-RU"/>
              </w:rPr>
              <w:t>вы можете сообщить по телефонам</w:t>
            </w:r>
            <w:hyperlink r:id="rId8" w:history="1">
              <w:r w:rsidRPr="00565679">
                <w:rPr>
                  <w:rFonts w:asciiTheme="majorHAnsi" w:eastAsia="Times New Roman" w:hAnsiTheme="majorHAnsi" w:cs="Times New Roman"/>
                  <w:b/>
                  <w:bCs/>
                  <w:sz w:val="30"/>
                  <w:szCs w:val="30"/>
                  <w:lang w:eastAsia="ru-RU"/>
                </w:rPr>
                <w:t xml:space="preserve"> "Горячей линии"</w:t>
              </w:r>
            </w:hyperlink>
          </w:p>
        </w:tc>
      </w:tr>
    </w:tbl>
    <w:p w:rsidR="008C2A7B" w:rsidRPr="005D567F" w:rsidRDefault="008C2A7B"/>
    <w:sectPr w:rsidR="008C2A7B" w:rsidRPr="005D567F" w:rsidSect="00011CD7">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0A5"/>
    <w:rsid w:val="00011CD7"/>
    <w:rsid w:val="00565679"/>
    <w:rsid w:val="005D567F"/>
    <w:rsid w:val="008C2A7B"/>
    <w:rsid w:val="008D6B3B"/>
    <w:rsid w:val="00C320D1"/>
    <w:rsid w:val="00D445CC"/>
    <w:rsid w:val="00FC7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45CC"/>
    <w:rPr>
      <w:color w:val="0069A9"/>
      <w:u w:val="single"/>
    </w:rPr>
  </w:style>
  <w:style w:type="paragraph" w:styleId="a4">
    <w:name w:val="Normal (Web)"/>
    <w:basedOn w:val="a"/>
    <w:uiPriority w:val="99"/>
    <w:semiHidden/>
    <w:unhideWhenUsed/>
    <w:rsid w:val="00D445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45CC"/>
    <w:rPr>
      <w:color w:val="0069A9"/>
      <w:u w:val="single"/>
    </w:rPr>
  </w:style>
  <w:style w:type="paragraph" w:styleId="a4">
    <w:name w:val="Normal (Web)"/>
    <w:basedOn w:val="a"/>
    <w:uiPriority w:val="99"/>
    <w:semiHidden/>
    <w:unhideWhenUsed/>
    <w:rsid w:val="00D445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721013">
      <w:bodyDiv w:val="1"/>
      <w:marLeft w:val="0"/>
      <w:marRight w:val="0"/>
      <w:marTop w:val="0"/>
      <w:marBottom w:val="0"/>
      <w:divBdr>
        <w:top w:val="none" w:sz="0" w:space="0" w:color="auto"/>
        <w:left w:val="none" w:sz="0" w:space="0" w:color="auto"/>
        <w:bottom w:val="none" w:sz="0" w:space="0" w:color="auto"/>
        <w:right w:val="none" w:sz="0" w:space="0" w:color="auto"/>
      </w:divBdr>
      <w:divsChild>
        <w:div w:id="68037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8.centerstart.ru/sites/ds8.centerstart.ru/files/u13/goryachaya_liniya_noyabr_2015.doc" TargetMode="External"/><Relationship Id="rId3" Type="http://schemas.openxmlformats.org/officeDocument/2006/relationships/settings" Target="settings.xml"/><Relationship Id="rId7" Type="http://schemas.openxmlformats.org/officeDocument/2006/relationships/hyperlink" Target="http://www.gk-rf.ru/statia58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k-rf.ru/statia578" TargetMode="External"/><Relationship Id="rId5" Type="http://schemas.openxmlformats.org/officeDocument/2006/relationships/hyperlink" Target="http://www.gk-rf.ru/statia12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1467</Words>
  <Characters>8363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sad42-1</dc:creator>
  <cp:keywords/>
  <dc:description/>
  <cp:lastModifiedBy>User</cp:lastModifiedBy>
  <cp:revision>6</cp:revision>
  <dcterms:created xsi:type="dcterms:W3CDTF">2018-03-23T04:53:00Z</dcterms:created>
  <dcterms:modified xsi:type="dcterms:W3CDTF">2021-12-06T14:07:00Z</dcterms:modified>
</cp:coreProperties>
</file>